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3" w:rsidRPr="00513463" w:rsidRDefault="00AA0C56" w:rsidP="00513463">
      <w:pPr>
        <w:pStyle w:val="Heading2"/>
        <w:jc w:val="center"/>
        <w:rPr>
          <w:b/>
          <w:bCs/>
          <w:smallCaps/>
          <w:color w:val="4472C4" w:themeColor="accent1"/>
          <w:spacing w:val="5"/>
          <w:sz w:val="44"/>
        </w:rPr>
      </w:pPr>
      <w:r w:rsidRPr="00AA0C56">
        <w:rPr>
          <w:rStyle w:val="IntenseReference"/>
          <w:sz w:val="44"/>
        </w:rPr>
        <w:t>Capital Region PRISM Invasive Species Fact Sheet</w:t>
      </w:r>
    </w:p>
    <w:p w:rsidR="00AA0C56" w:rsidRPr="00057058" w:rsidRDefault="00CC7CF0" w:rsidP="00057058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smallCaps w:val="0"/>
          <w:spacing w:val="0"/>
          <w:sz w:val="32"/>
        </w:rPr>
      </w:pPr>
      <w:r>
        <w:rPr>
          <w:b/>
          <w:noProof/>
          <w:color w:val="385623" w:themeColor="accent6" w:themeShade="8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865505</wp:posOffset>
            </wp:positionV>
            <wp:extent cx="2781300" cy="19310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80" cy="19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sz w:val="32"/>
        </w:rPr>
        <w:t>Common Caraway</w:t>
      </w:r>
      <w:r w:rsidR="00513463">
        <w:rPr>
          <w:i w:val="0"/>
          <w:sz w:val="32"/>
        </w:rPr>
        <w:t xml:space="preserve"> </w:t>
      </w:r>
      <w:r w:rsidR="003B6BE8">
        <w:rPr>
          <w:i w:val="0"/>
          <w:sz w:val="32"/>
        </w:rPr>
        <w:t>(</w:t>
      </w:r>
      <w:proofErr w:type="spellStart"/>
      <w:r>
        <w:rPr>
          <w:sz w:val="32"/>
        </w:rPr>
        <w:t>Carum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carvi</w:t>
      </w:r>
      <w:proofErr w:type="spellEnd"/>
      <w:r w:rsidR="00513463">
        <w:rPr>
          <w:i w:val="0"/>
          <w:sz w:val="32"/>
        </w:rPr>
        <w:t>)</w:t>
      </w:r>
    </w:p>
    <w:p w:rsidR="00AA0C56" w:rsidRPr="005B1C09" w:rsidRDefault="00AA0C56" w:rsidP="00AA0C56">
      <w:pPr>
        <w:rPr>
          <w:rFonts w:cstheme="minorHAnsi"/>
          <w:szCs w:val="30"/>
        </w:rPr>
      </w:pPr>
      <w:r w:rsidRPr="005B1C09">
        <w:rPr>
          <w:b/>
          <w:color w:val="385623" w:themeColor="accent6" w:themeShade="80"/>
          <w:sz w:val="24"/>
        </w:rPr>
        <w:t>Background:</w:t>
      </w:r>
      <w:r w:rsidRPr="005B1C09">
        <w:rPr>
          <w:color w:val="385623" w:themeColor="accent6" w:themeShade="80"/>
          <w:sz w:val="24"/>
        </w:rPr>
        <w:t xml:space="preserve"> </w:t>
      </w:r>
      <w:r w:rsidR="005B43EB">
        <w:rPr>
          <w:rFonts w:cstheme="minorHAnsi"/>
          <w:szCs w:val="30"/>
        </w:rPr>
        <w:t>Wild, or Common Caraway, is a native to Eurasia</w:t>
      </w:r>
      <w:r w:rsidR="005B43EB">
        <w:rPr>
          <w:rFonts w:cstheme="minorHAnsi"/>
          <w:szCs w:val="30"/>
        </w:rPr>
        <w:t xml:space="preserve"> can be found thriving in disturbed areas and roadsides. While it is naturalized in many locations, it has a high invasiveness score which indicates negative impacts to native ecosystems where it is established. </w:t>
      </w:r>
      <w:r w:rsidR="008F73DA">
        <w:rPr>
          <w:rFonts w:cstheme="minorHAnsi"/>
          <w:szCs w:val="30"/>
        </w:rPr>
        <w:t>Caraway can survive light frosts and temporary flooding.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="005B43EB" w:rsidRPr="007E32F4">
        <w:rPr>
          <w:rFonts w:cstheme="minorHAnsi"/>
          <w:szCs w:val="30"/>
        </w:rPr>
        <w:t>In the first year, you can identify this plant by the carrot-like leaves and slender tubers</w:t>
      </w:r>
      <w:r w:rsidR="008F73DA">
        <w:rPr>
          <w:rFonts w:cstheme="minorHAnsi"/>
          <w:szCs w:val="30"/>
        </w:rPr>
        <w:t xml:space="preserve">. </w:t>
      </w:r>
      <w:r w:rsidR="005B43EB" w:rsidRPr="007E32F4">
        <w:rPr>
          <w:rFonts w:cstheme="minorHAnsi"/>
          <w:szCs w:val="30"/>
        </w:rPr>
        <w:t>Mature plants can be identified by the hollow stem and flowers.</w:t>
      </w:r>
      <w:r w:rsidR="005B43EB" w:rsidRPr="007E32F4">
        <w:rPr>
          <w:rFonts w:ascii="Arial" w:hAnsi="Arial" w:cs="Arial"/>
          <w:szCs w:val="30"/>
        </w:rPr>
        <w:t xml:space="preserve"> </w:t>
      </w:r>
    </w:p>
    <w:p w:rsidR="005B1C09" w:rsidRPr="005B1C09" w:rsidRDefault="005B1C09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="00792D59" w:rsidRPr="005B43EB">
        <w:rPr>
          <w:rFonts w:cstheme="minorHAnsi"/>
          <w:szCs w:val="30"/>
        </w:rPr>
        <w:t xml:space="preserve">Flowers </w:t>
      </w:r>
      <w:r w:rsidR="005B43EB">
        <w:rPr>
          <w:rFonts w:cstheme="minorHAnsi"/>
          <w:szCs w:val="30"/>
        </w:rPr>
        <w:t xml:space="preserve">are white or pink and </w:t>
      </w:r>
      <w:r w:rsidR="00DD7A2A">
        <w:rPr>
          <w:rFonts w:cstheme="minorHAnsi"/>
          <w:szCs w:val="30"/>
        </w:rPr>
        <w:t>grow in compound umbels</w:t>
      </w:r>
      <w:r w:rsidR="008D7A98">
        <w:rPr>
          <w:rFonts w:cstheme="minorHAnsi"/>
          <w:szCs w:val="30"/>
        </w:rPr>
        <w:t xml:space="preserve"> from June to July.</w:t>
      </w:r>
    </w:p>
    <w:p w:rsidR="00F710FA" w:rsidRPr="00201D6F" w:rsidRDefault="005B43EB" w:rsidP="00AA0C56">
      <w:pPr>
        <w:rPr>
          <w:rFonts w:cstheme="minorHAnsi"/>
          <w:szCs w:val="30"/>
        </w:rPr>
      </w:pPr>
      <w:r>
        <w:rPr>
          <w:rFonts w:cstheme="minorHAnsi"/>
          <w:b/>
          <w:noProof/>
          <w:color w:val="385623" w:themeColor="accent6" w:themeShade="80"/>
          <w:sz w:val="24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4445</wp:posOffset>
            </wp:positionV>
            <wp:extent cx="2008505" cy="30556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FA"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="00F710FA" w:rsidRPr="005B1C09">
        <w:rPr>
          <w:rFonts w:cstheme="minorHAnsi"/>
          <w:b/>
          <w:szCs w:val="30"/>
        </w:rPr>
        <w:t>:</w:t>
      </w:r>
      <w:r w:rsidR="006B7A26">
        <w:rPr>
          <w:rFonts w:cstheme="minorHAnsi"/>
          <w:szCs w:val="30"/>
        </w:rPr>
        <w:t xml:space="preserve"> </w:t>
      </w:r>
      <w:r w:rsidR="00613386" w:rsidRPr="00613386">
        <w:rPr>
          <w:rFonts w:cstheme="minorHAnsi"/>
          <w:szCs w:val="30"/>
        </w:rPr>
        <w:t>Tree of Heaven (invasive but wide-spread) Devil’s Walking Stick and Prickly Ash (native)</w:t>
      </w:r>
    </w:p>
    <w:p w:rsidR="007F0022" w:rsidRPr="00604A09" w:rsidRDefault="007B6E40" w:rsidP="007F0022">
      <w:pPr>
        <w:pStyle w:val="NormalWeb"/>
        <w:rPr>
          <w:rFonts w:asciiTheme="minorHAnsi" w:hAnsiTheme="minorHAnsi" w:cstheme="minorHAnsi"/>
          <w:b/>
          <w:color w:val="385623" w:themeColor="accent6" w:themeShade="80"/>
          <w:szCs w:val="30"/>
        </w:rPr>
      </w:pPr>
      <w:r w:rsidRPr="00201D6F">
        <w:rPr>
          <w:rFonts w:asciiTheme="minorHAnsi" w:hAnsiTheme="minorHAnsi" w:cstheme="minorHAnsi"/>
          <w:b/>
          <w:color w:val="385623" w:themeColor="accent6" w:themeShade="80"/>
          <w:szCs w:val="30"/>
        </w:rPr>
        <w:t xml:space="preserve">Control Methods: </w:t>
      </w:r>
      <w:r w:rsidR="008F73DA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604A09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EB203E">
        <w:rPr>
          <w:rFonts w:asciiTheme="minorHAnsi" w:hAnsiTheme="minorHAnsi" w:cstheme="minorHAnsi"/>
          <w:b/>
          <w:bCs/>
          <w:sz w:val="22"/>
          <w:szCs w:val="22"/>
        </w:rPr>
        <w:t>Manual/</w:t>
      </w:r>
      <w:r w:rsidR="00201D6F" w:rsidRPr="00201D6F">
        <w:rPr>
          <w:rFonts w:asciiTheme="minorHAnsi" w:hAnsiTheme="minorHAnsi" w:cstheme="minorHAnsi"/>
          <w:b/>
          <w:bCs/>
          <w:sz w:val="22"/>
          <w:szCs w:val="22"/>
        </w:rPr>
        <w:t>Mechanical:</w:t>
      </w:r>
      <w:r w:rsidR="00201D6F"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5B43EB">
        <w:rPr>
          <w:rFonts w:asciiTheme="minorHAnsi" w:hAnsiTheme="minorHAnsi" w:cstheme="minorHAnsi"/>
          <w:sz w:val="22"/>
          <w:szCs w:val="22"/>
        </w:rPr>
        <w:t xml:space="preserve">Hand pulling plants can be effective if care is taken not to drop seeds in the process. Bagging and disposing of plant material in a landfill </w:t>
      </w:r>
      <w:proofErr w:type="gramStart"/>
      <w:r w:rsidR="005B43EB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5B43EB">
        <w:rPr>
          <w:rFonts w:asciiTheme="minorHAnsi" w:hAnsiTheme="minorHAnsi" w:cstheme="minorHAnsi"/>
          <w:sz w:val="22"/>
          <w:szCs w:val="22"/>
        </w:rPr>
        <w:t xml:space="preserve"> the safest way to dispose of this plant. Mowing and cutting is NOT effective as it will re-bloom below the cut. </w:t>
      </w:r>
      <w:r w:rsidR="008F73DA">
        <w:rPr>
          <w:rFonts w:asciiTheme="minorHAnsi" w:hAnsiTheme="minorHAnsi" w:cstheme="minorHAnsi"/>
          <w:sz w:val="22"/>
          <w:szCs w:val="22"/>
        </w:rPr>
        <w:t>Removals may be necessary for several years until seed bank is depleted.</w:t>
      </w:r>
    </w:p>
    <w:p w:rsidR="0027612C" w:rsidRPr="00EB203E" w:rsidRDefault="00201D6F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1D6F">
        <w:rPr>
          <w:rFonts w:asciiTheme="minorHAnsi" w:hAnsiTheme="minorHAnsi" w:cstheme="minorHAnsi"/>
          <w:b/>
          <w:bCs/>
          <w:sz w:val="22"/>
          <w:szCs w:val="22"/>
        </w:rPr>
        <w:t>Chemical:</w:t>
      </w:r>
      <w:r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8C50B2">
        <w:rPr>
          <w:rFonts w:asciiTheme="minorHAnsi" w:hAnsiTheme="minorHAnsi" w:cstheme="minorHAnsi"/>
          <w:sz w:val="22"/>
          <w:szCs w:val="22"/>
        </w:rPr>
        <w:t xml:space="preserve">Chemical herbicides applied </w:t>
      </w:r>
      <w:r w:rsidR="008F73DA">
        <w:rPr>
          <w:rFonts w:asciiTheme="minorHAnsi" w:hAnsiTheme="minorHAnsi" w:cstheme="minorHAnsi"/>
          <w:sz w:val="22"/>
          <w:szCs w:val="22"/>
        </w:rPr>
        <w:t>within the first year of growth before bolting is the most effective</w:t>
      </w:r>
      <w:bookmarkStart w:id="0" w:name="_GoBack"/>
      <w:bookmarkEnd w:id="0"/>
      <w:r w:rsidR="00604A09">
        <w:rPr>
          <w:rFonts w:asciiTheme="minorHAnsi" w:hAnsiTheme="minorHAnsi" w:cstheme="minorHAnsi"/>
          <w:sz w:val="22"/>
          <w:szCs w:val="22"/>
        </w:rPr>
        <w:t>. I</w:t>
      </w:r>
      <w:r w:rsidR="00604A09" w:rsidRPr="00604A09">
        <w:rPr>
          <w:rFonts w:asciiTheme="minorHAnsi" w:hAnsiTheme="minorHAnsi" w:cstheme="minorHAnsi"/>
          <w:sz w:val="22"/>
          <w:szCs w:val="22"/>
        </w:rPr>
        <w:t>t is your responsibility to fully understand the laws, regulations and best practices required to apply pesticides in a responsible manner.</w:t>
      </w:r>
      <w:r w:rsidR="008C50B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7612C" w:rsidRPr="00EB2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57058"/>
    <w:rsid w:val="000D6ABC"/>
    <w:rsid w:val="00201D6F"/>
    <w:rsid w:val="002550FF"/>
    <w:rsid w:val="0027612C"/>
    <w:rsid w:val="00390A41"/>
    <w:rsid w:val="003B6BE8"/>
    <w:rsid w:val="00456B1F"/>
    <w:rsid w:val="00513463"/>
    <w:rsid w:val="005B1C09"/>
    <w:rsid w:val="005B43EB"/>
    <w:rsid w:val="005F525F"/>
    <w:rsid w:val="00604A09"/>
    <w:rsid w:val="00613386"/>
    <w:rsid w:val="00644174"/>
    <w:rsid w:val="006762FB"/>
    <w:rsid w:val="006B7A26"/>
    <w:rsid w:val="0074716E"/>
    <w:rsid w:val="00792D59"/>
    <w:rsid w:val="007B6E40"/>
    <w:rsid w:val="007E32F4"/>
    <w:rsid w:val="007F0022"/>
    <w:rsid w:val="0085379D"/>
    <w:rsid w:val="008C50B2"/>
    <w:rsid w:val="008D7A98"/>
    <w:rsid w:val="008F73DA"/>
    <w:rsid w:val="00923BCB"/>
    <w:rsid w:val="00A069F7"/>
    <w:rsid w:val="00A364B5"/>
    <w:rsid w:val="00AA0C56"/>
    <w:rsid w:val="00AF2009"/>
    <w:rsid w:val="00BD1781"/>
    <w:rsid w:val="00C86E61"/>
    <w:rsid w:val="00CC7CF0"/>
    <w:rsid w:val="00D24B28"/>
    <w:rsid w:val="00DB775F"/>
    <w:rsid w:val="00DD7A2A"/>
    <w:rsid w:val="00E21620"/>
    <w:rsid w:val="00E610C4"/>
    <w:rsid w:val="00EB203E"/>
    <w:rsid w:val="00F25818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2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4</cp:revision>
  <dcterms:created xsi:type="dcterms:W3CDTF">2020-12-18T17:47:00Z</dcterms:created>
  <dcterms:modified xsi:type="dcterms:W3CDTF">2020-12-18T18:09:00Z</dcterms:modified>
</cp:coreProperties>
</file>